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Fundraising and Donations Policy</w:t>
      </w:r>
    </w:p>
    <w:p>
      <w:pPr>
        <w:pStyle w:val="Subtitle"/>
      </w:pPr>
      <w:r>
        <w:t>Kingston Centre for Independent Living</w:t>
      </w:r>
    </w:p>
    <w:p>
      <w:r>
        <w:t>Version 2.0 • October 2026</w:t>
        <w:br/>
        <w:t>Policy owner: Operations and Marketing Manager</w:t>
        <w:br/>
        <w:t>Approval: Board of Trustees — pending</w:t>
        <w:br/>
        <w:t>Effective date: On approval</w:t>
        <w:br/>
        <w:t>Review: Annually from approval, or earlier following a significant change</w:t>
      </w:r>
    </w:p>
    <w:p>
      <w:pPr>
        <w:pStyle w:val="Heading1"/>
      </w:pPr>
      <w:r>
        <w:t>1 Purpose and scope</w:t>
      </w:r>
    </w:p>
    <w:p>
      <w:r>
        <w:t>KCIL raises and accepts funds to support its charitable purposes and independent living, following the law and the Code of Fundraising Practice. This policy explains how we protect donors, make proportionate checks, handle donations safely and resolve concerns. It applies to trustees, employees, volunteers, contractors and anyone authorised to fundraise on KCIL’s behalf.</w:t>
      </w:r>
    </w:p>
    <w:p>
      <w:r>
        <w:t>It covers donations of money, goods and services, fundraising appeals, grants that are gifts, legacies and fundraising partnerships. Commissioned service contracts remain subject to their contractual and financial approval arrangements. Once approved, this policy replaces the KCIL Fundraising Policy and the Fundraising and Donor Due Diligence Policy.</w:t>
      </w:r>
    </w:p>
    <w:p>
      <w:pPr>
        <w:pStyle w:val="Heading1"/>
      </w:pPr>
      <w:r>
        <w:t>2 Responsibilities and authority</w:t>
      </w:r>
    </w:p>
    <w:p>
      <w:r>
        <w:t>Trustees retain overall responsibility for fundraising. They approve this policy, oversee risks and decide significant or contentious acceptance, refusal and return cases. Delegation does not remove their responsibility. Decisions must comply with KCIL’s governing document and any approved financial limits.</w:t>
      </w:r>
    </w:p>
    <w:p>
      <w:r>
        <w:t>The Chief Executive oversees fundraising activity, approves campaigns and partnerships within delegated authority, and refers higher-risk matters to trustees. The Operations and Marketing Manager maintains procedures, coordinates checks and records, and ensures staff and volunteers know how to raise concerns. The person responsible for finance records receipts, restrictions, banking and reconciliations.</w:t>
      </w:r>
    </w:p>
    <w:p>
      <w:r>
        <w:t>Staff and volunteers may receive routine donations under this policy. They must refer unusual conditions, doubts about a donor’s decision, or any suspicion promptly to the Chief Executive or Operations and Marketing Manager. They must not promise a refund or accept unusual terms themselves. If the concern involves the Chief Executive, or an urgent concern cannot be resolved, contact the Chair or another unconflicted trustee.</w:t>
      </w:r>
    </w:p>
    <w:p>
      <w:pPr>
        <w:pStyle w:val="Heading1"/>
      </w:pPr>
      <w:r>
        <w:t>3 Ethical fundraising</w:t>
      </w:r>
    </w:p>
    <w:p>
      <w:r>
        <w:t>We explain our work and funding needs honestly, use realistic budgets and evidence for claims, and give accurate information about how money will be used. We meet agreed reporting requirements. Fundraisers must respect a refusal, end an interaction when asked and avoid persistent approaches, guilt or pressure.</w:t>
      </w:r>
    </w:p>
    <w:p>
      <w:r>
        <w:t>Donating never affects access to KCIL support, waiting times or the quality of a service. Staff must not use their position of trust to seek gifts for themselves or suggest that donating will secure preferential treatment. Donations belong to KCIL, not individual workers or teams.</w:t>
      </w:r>
    </w:p>
    <w:p>
      <w:r>
        <w:br w:type="page"/>
      </w:r>
    </w:p>
    <w:p>
      <w:pPr>
        <w:pStyle w:val="Heading1"/>
      </w:pPr>
      <w:r>
        <w:t>4 Supporting informed and voluntary decisions</w:t>
      </w:r>
    </w:p>
    <w:p>
      <w:r>
        <w:t>We presume adults can decide for themselves. Disability, age, a diagnosis or a communication difficulty alone does not establish a lack of capacity. We ask what support is helpful, allow time, offer accessible information and check understanding without patronising or pressuring the person.</w:t>
      </w:r>
    </w:p>
    <w:p>
      <w:r>
        <w:t>We do not take advantage of distress, bereavement, financial hardship or dependence on our services. Where there is reason to doubt that someone can make an informed decision about the particular donation, pause the request and refer the concern to a manager. Do not accept a donation where we know, or have good reason to believe, that the person lacks capacity to decide or that their circumstances prevent an informed decision.</w:t>
      </w:r>
    </w:p>
    <w:p>
      <w:r>
        <w:t>If a concern arises after receipt, keep the funds unspent and refer it promptly for a return decision under section 7. Record relevant facts respectfully and restrict access. Refer suspected coercion, financial abuse or other harm through KCIL’s safeguarding procedures. Apply the Code’s additional protections whenever children take part in fundraising or are approached for donations.</w:t>
      </w:r>
    </w:p>
    <w:p>
      <w:pPr>
        <w:pStyle w:val="Heading1"/>
      </w:pPr>
      <w:r>
        <w:t>5 Proportionate donor checks</w:t>
      </w:r>
    </w:p>
    <w:p>
      <w:r>
        <w:t>Checks should reflect the amount, source, conditions and risk of the gift. Small, ordinary collection-box donations do not normally need formal identity checks. An overseas origin or wish for privacy does not, on its own, establish wrongdoing.</w:t>
      </w:r>
    </w:p>
    <w:p>
      <w:r>
        <w:t>For unusual, substantial, conditional or higher-risk gifts, the Operations and Marketing Manager or Chief Executive records the checks in Appendix A before a commitment is made. Checks may include identity, the source and ownership of funds, reliable public information, relevant registers, sanctions, reputation and any conditions or conflicts of interest. Take particular care with non-cash gifts carrying liabilities and pledges paid over several years.</w:t>
      </w:r>
    </w:p>
    <w:p>
      <w:r>
        <w:t>Assess evidenced risks to KCIL’s purposes, independence and public trust. Decisions must not be driven by an individual decision-maker’s personal dislike of a donor or unsupported allegations. Obtain proportionate clarification and specialist advice where needed. Review continuing arrangements if circumstances change.</w:t>
      </w:r>
    </w:p>
    <w:p>
      <w:pPr>
        <w:pStyle w:val="Heading1"/>
      </w:pPr>
      <w:r>
        <w:t>6 Anonymous and suspicious donations</w:t>
      </w:r>
    </w:p>
    <w:p>
      <w:r>
        <w:t>A donor may be unnamed publicly while still providing details confidentially for checks. Genuinely anonymous gifts can be accepted where risks are manageable. Anonymous donations over £1,000, including apparently linked gifts, must be referred to the Chief Executive for documented review. This is KCIL’s internal threshold, not a statutory reporting threshold or an exemption from checking smaller gifts.</w:t>
      </w:r>
    </w:p>
    <w:p>
      <w:r>
        <w:t>Trustees must consider serious-incident reporting for suspicious or significant unverified donations. Charity Commission guidance says an anonymous donation of £25,000 or more should be reported. Lower amounts may also require reporting because of the circumstances.</w:t>
      </w:r>
    </w:p>
    <w:p>
      <w:r>
        <w:t>Warning signs include unexplained funds, an unusually large cash gift, unclear ownership, pressure to avoid checks, or arrangements requiring KCIL to pass money on, refund an overpayment, change currency or temporarily hold funds. Escalate any such concern regardless of amount.</w:t>
      </w:r>
    </w:p>
    <w:p>
      <w:r>
        <w:br w:type="page"/>
      </w:r>
    </w:p>
    <w:p>
      <w:pPr>
        <w:pStyle w:val="Heading1"/>
      </w:pPr>
      <w:r>
        <w:t>6 Continued action on suspicious funds and sanctions</w:t>
      </w:r>
    </w:p>
    <w:p>
      <w:r>
        <w:t>Do not spend, transfer or return suspect funds while the next steps are being established. Preserve records and notify the Chief Executive and Chair promptly. If an illegal source is suspected, do not contact the donor or return the money without appropriate advice. Trustees must arrange any required reports to the Charity Commission, police, National Crime Agency or other competent authority. An internal report does not replace an external reporting duty.</w:t>
      </w:r>
    </w:p>
    <w:p>
      <w:r>
        <w:t>KCIL must comply with applicable financial sanctions. Where relevant, use the current UK Sanctions List and consider whether an organisation is owned or controlled by a sanctioned person. Pause a transaction if there is a possible match and seek advice. Where sanctioned funds are identified, freeze the relevant funds or assets, contact OFSI immediately and do not make them available or move them except as lawfully authorised. Any licence or exception must be confirmed before proceeding.</w:t>
      </w:r>
    </w:p>
    <w:p>
      <w:pPr>
        <w:pStyle w:val="Heading1"/>
      </w:pPr>
      <w:r>
        <w:t>7 Accepting refusing and returning donations</w:t>
      </w:r>
    </w:p>
    <w:p>
      <w:r>
        <w:t>Our starting point is to accept and retain donations that further KCIL’s purposes. Refusal or return is exceptional and must have a lawful basis, reflect KCIL’s best interests and be documented. We must refuse or return gifts where legally required, including lack of capacity to donate, unlawful conditions, lack of ownership or a valid refund right. Suspected criminal funds follow section 6, not an ordinary refund process.</w:t>
      </w:r>
    </w:p>
    <w:p>
      <w:r>
        <w:t>The Chief Executive may approve routine acceptance within delegated authority. Trustees decide contentious cases, material reputational risks, restrictions that threaten independence, and non-routine refusals or returns. They weigh the benefits against evidenced harm, liabilities and costs, manage conflicts, and check the legal power to act. Seek legal or Charity Commission advice where powers or obligations are uncertain.</w:t>
      </w:r>
    </w:p>
    <w:p>
      <w:r>
        <w:t>The Chief Executive may authorise a straightforward refund required by law or an agreed funding term, after finance verifies the evidence and authority. Any separate financial approval requirements still apply. Record the reason, amount, authoriser and recipient; use the original payment route where practicable. Never refund an uncleared cheque or redirect a refund to an unrelated third party. Consider any Gift Aid correction.</w:t>
      </w:r>
    </w:p>
    <w:p>
      <w:pPr>
        <w:pStyle w:val="Heading1"/>
      </w:pPr>
      <w:r>
        <w:t>8 Restricted gifts and appeals</w:t>
      </w:r>
    </w:p>
    <w:p>
      <w:r>
        <w:t>Before agreeing a restriction, check that the purpose falls within KCIL’s objects, can be delivered and has an affordable budget. Record the terms and track restricted income and expenditure separately. A restriction may arise from appeal wording as well as an individual donor’s instructions.</w:t>
      </w:r>
    </w:p>
    <w:p>
      <w:r>
        <w:t>Appeals for a specific project must explain what happens if too much or too little is raised, or the project cannot proceed. Include an appropriate secondary purpose where possible. If existing restrictions cannot be met, stop using the funds for another purpose and seek advice on the lawful options. A donor’s agreement alone may not be enough to change a restriction.</w:t>
      </w:r>
    </w:p>
    <w:p>
      <w:r>
        <w:br w:type="page"/>
      </w:r>
    </w:p>
    <w:p>
      <w:pPr>
        <w:pStyle w:val="Heading1"/>
      </w:pPr>
      <w:r>
        <w:t>9 Receiving and accounting for funds</w:t>
      </w:r>
    </w:p>
    <w:p>
      <w:r>
        <w:t>The Operations and Marketing Manager appoints a responsible person for each collection or event, agrees secure custody and banking arrangements, and ensures the finance record is complete. Donations must go through KCIL-approved accounts and payment systems, never a worker’s personal account.</w:t>
      </w:r>
    </w:p>
    <w:p>
      <w:pPr>
        <w:pStyle w:val="ListBullet"/>
      </w:pPr>
      <w:r>
        <w:t>Provide a signed paper or digital receipt for cash given outside a sealed collection box. Keep a copy or auditable record.</w:t>
      </w:r>
    </w:p>
    <w:p>
      <w:pPr>
        <w:pStyle w:val="ListBullet"/>
      </w:pPr>
      <w:r>
        <w:t>Label, number and seal collection boxes; record their issue and return, and receipt their return to fundraisers. Follow any additional collection-licence rules.</w:t>
      </w:r>
    </w:p>
    <w:p>
      <w:pPr>
        <w:pStyle w:val="ListBullet"/>
      </w:pPr>
      <w:r>
        <w:t>Count and record cash securely with two unrelated people where possible. Where this is impractical, record why and arrange an independent check.</w:t>
      </w:r>
    </w:p>
    <w:p>
      <w:pPr>
        <w:pStyle w:val="ListBullet"/>
      </w:pPr>
      <w:r>
        <w:t>Keep cash locked away, never unattended and unsecured. Bank it as soon as possible. Record the full amount; pay approved expenses separately.</w:t>
      </w:r>
    </w:p>
    <w:p>
      <w:pPr>
        <w:pStyle w:val="ListBullet"/>
      </w:pPr>
      <w:r>
        <w:t>Finance must reconcile banking to receipt records, with independent checking where possible. Report discrepancies promptly and investigate.</w:t>
      </w:r>
    </w:p>
    <w:p>
      <w:r>
        <w:t>Use secure approved providers for card and online payments. Reconcile donations, platform fees and net receipts. Gift Aid may be claimed only where KCIL and the donation qualify, with the necessary declaration and records. Donations must remain separate from service users’ Direct Payment or managed-account funds; these must never be treated as gifts to KCIL.</w:t>
      </w:r>
    </w:p>
    <w:p>
      <w:pPr>
        <w:pStyle w:val="Heading1"/>
      </w:pPr>
      <w:r>
        <w:t>10 Partners events and other fundraising methods</w:t>
      </w:r>
    </w:p>
    <w:p>
      <w:r>
        <w:t>The Chief Executive must approve a new fundraising arrangement before it starts. Check the partner’s identity, suitability, competence, financial position and relevant conduct. Confirm that the proposed activity supports KCIL’s purposes and values, and declare any conflict of interest.</w:t>
      </w:r>
    </w:p>
    <w:p>
      <w:r>
        <w:t>Use a written agreement with third-party fundraisers other than volunteers. Agreements with professional fundraisers and commercial participators must meet the applicable legal requirements. Set out payments, the amount or proportion reaching KCIL, use of our name, handling of funds and data, safeguarding, complaints, monitoring and termination. Check required fundraising disclosures before asking for or receiving donations.</w:t>
      </w:r>
    </w:p>
    <w:p>
      <w:r>
        <w:t>Assign a KCIL contact to monitor activity and act on breaches. Volunteers must have clear authorisation, guidance and proportionate supervision. Before collections, events, raffles, lotteries or other new activities, check licences or registrations, permissions, age restrictions, insurance, accessibility and safety requirements. No activity may begin until the relevant requirements are met.</w:t>
      </w:r>
    </w:p>
    <w:p>
      <w:pPr>
        <w:pStyle w:val="Heading1"/>
      </w:pPr>
      <w:r>
        <w:t>11 Respectful communications and personal information</w:t>
      </w:r>
    </w:p>
    <w:p>
      <w:r>
        <w:t>Represent people who use KCIL’s services with dignity and in ways they are comfortable with. Obtain informed, freely given permission for identifiable stories, photographs and publicity, explain intended uses and withdrawal arrangements, and avoid exposing anyone to harm. Refusing publicity must not affect support.</w:t>
      </w:r>
    </w:p>
    <w:p>
      <w:r>
        <w:t>Follow KCIL’s data protection policy and privacy notices. Collect only necessary donor information, restrict access and follow the retention schedule. Donation processing and fundraising marketing are separate purposes: check the lawful basis and applicable electronic-marketing rules before contact. Respect objections, opt-outs and Fundraising Preference Service requests. Do not sell donor details or share them for another organisation’s fundraising without valid consent.</w:t>
      </w:r>
    </w:p>
    <w:p>
      <w:r>
        <w:br w:type="page"/>
      </w:r>
    </w:p>
    <w:p>
      <w:pPr>
        <w:pStyle w:val="Heading1"/>
      </w:pPr>
      <w:r>
        <w:t>12 Complaints concerns and oversight</w:t>
      </w:r>
    </w:p>
    <w:p>
      <w:r>
        <w:t>Fundraising complaints, including those about people acting on KCIL’s behalf, are handled through KCIL’s published Complaints Policy and Procedure. Staff must help people access it in an appropriate format, record complaints promptly and ensure a fair investigation and response within its timescales. Partners must have a suitable public procedure or follow KCIL’s. Explain how unresolved fundraising complaints can be raised with the Fundraising Regulator.</w:t>
      </w:r>
    </w:p>
    <w:p>
      <w:r>
        <w:t>Staff and volunteers should raise suspected fraud, coercion, unsafe handling of money, misuse of donor data or other wrongdoing with the Chief Executive or Operations and Marketing Manager. Concerns involving them may be taken directly to the Chair or another unconflicted trustee. KCIL will assess the concern, preserve evidence, arrange an impartial investigation and take protective action where needed. Nobody raising a concern honestly will be victimised. Confidentiality will be protected as far as possible, subject to necessary investigation and reporting.</w:t>
      </w:r>
    </w:p>
    <w:p>
      <w:r>
        <w:t>Where concerns cannot appropriately be addressed internally, staff and volunteers may contact the Fundraising Regulator or the relevant statutory authority. Safeguarding and immediate safety concerns must also follow the appropriate urgent reporting route. KCIL will protect fundraisers from abuse, discrimination, harassment and unsafe working conditions, including through risk assessment and action on reported incidents.</w:t>
      </w:r>
    </w:p>
    <w:p>
      <w:r>
        <w:t>The Chief Executive reports material fundraising risks, complaints, unusual donations, refusals, returns and significant partnerships to trustees. KCIL will meet applicable accounts and annual-report disclosure requirements without unnecessarily identifying private donors. Trustees review learning, the effectiveness of checks and delegated authority. The policy owner reviews this policy annually and after material changes in law, guidance or fundraising activity.</w:t>
      </w:r>
    </w:p>
    <w:p>
      <w:pPr>
        <w:pStyle w:val="Heading1"/>
      </w:pPr>
      <w:r>
        <w:t>Appendix A Due diligence and decision record</w:t>
      </w:r>
    </w:p>
    <w:p>
      <w:r>
        <w:t>Use a dated record for gifts or partnerships requiring additional checks. Record “not applicable” with a reason where appropriate. Routine small donations need only the normal financial record.</w:t>
      </w:r>
    </w:p>
    <w:p>
      <w:pPr>
        <w:pStyle w:val="ListBullet"/>
      </w:pPr>
      <w:r>
        <w:t>Donor or partner and proposal: identity, amount or value, payment method, source, purpose, conditions, anonymity and any linked gifts.</w:t>
      </w:r>
    </w:p>
    <w:p>
      <w:pPr>
        <w:pStyle w:val="ListBullet"/>
      </w:pPr>
      <w:r>
        <w:t>Checks and evidence: relevant registers, ownership, source of funds, sanctions, reliable reputation information and the date each check was made.</w:t>
      </w:r>
    </w:p>
    <w:p>
      <w:pPr>
        <w:pStyle w:val="ListBullet"/>
      </w:pPr>
      <w:r>
        <w:t>Risks and safeguards: legal concerns, informed choice, restrictions, conflicts, independence, ongoing costs and measures to reduce identified risks.</w:t>
      </w:r>
    </w:p>
    <w:p>
      <w:pPr>
        <w:pStyle w:val="ListBullet"/>
      </w:pPr>
      <w:r>
        <w:t>Decision and authority: accept, pause, refuse or return; reasons, benefits and risks considered, advice obtained, decision-maker and date.</w:t>
      </w:r>
    </w:p>
    <w:p>
      <w:pPr>
        <w:pStyle w:val="ListBullet"/>
      </w:pPr>
      <w:r>
        <w:t>Follow-up: records sent to finance, reporting or safeguarding action, partnership monitoring, outstanding conditions and next review date.</w:t>
      </w:r>
    </w:p>
    <w:p>
      <w:r>
        <w:t>Keep the record securely with the relevant donation or partnership documentation. Do not include unnecessary medical details or unverified allegations as facts.</w:t>
      </w:r>
    </w:p>
    <w:p>
      <w:r>
        <w:br w:type="page"/>
      </w:r>
    </w:p>
    <w:p>
      <w:pPr>
        <w:pStyle w:val="Heading1"/>
      </w:pPr>
      <w:r>
        <w:t>Related policies and guidance</w:t>
      </w:r>
    </w:p>
    <w:p>
      <w:r>
        <w:t>Read alongside KCIL’s safeguarding, complaints, data protection, equality and financial procedures, together with its governing document and approved delegations. Guidance below was checked on 2 October 2026; use the current published version when applying this policy.</w:t>
      </w:r>
    </w:p>
    <w:p>
      <w:hyperlink r:id="rId10">
        <w:r>
          <w:rPr>
            <w:u w:val="single"/>
          </w:rPr>
          <w:t>Fundraising Regulator — Code of Fundraising Practice</w:t>
        </w:r>
      </w:hyperlink>
    </w:p>
    <w:p>
      <w:hyperlink r:id="rId11">
        <w:r>
          <w:rPr>
            <w:u w:val="single"/>
          </w:rPr>
          <w:t>Fundraising Regulator — Due diligence and fundraising</w:t>
        </w:r>
      </w:hyperlink>
    </w:p>
    <w:p>
      <w:hyperlink r:id="rId12">
        <w:r>
          <w:rPr>
            <w:u w:val="single"/>
          </w:rPr>
          <w:t>Fundraising Regulator — Donors in vulnerable circumstances</w:t>
        </w:r>
      </w:hyperlink>
    </w:p>
    <w:p>
      <w:hyperlink r:id="rId13">
        <w:r>
          <w:rPr>
            <w:u w:val="single"/>
          </w:rPr>
          <w:t>Fundraising Regulator — Issues and complaints about fundraising</w:t>
        </w:r>
      </w:hyperlink>
    </w:p>
    <w:p>
      <w:hyperlink r:id="rId14">
        <w:r>
          <w:rPr>
            <w:u w:val="single"/>
          </w:rPr>
          <w:t>Charity Commission — Charity fundraising and trustee duties CC20</w:t>
        </w:r>
      </w:hyperlink>
    </w:p>
    <w:p>
      <w:hyperlink r:id="rId15">
        <w:r>
          <w:rPr>
            <w:u w:val="single"/>
          </w:rPr>
          <w:t>Charity Commission — Accepting refusing and returning donations</w:t>
        </w:r>
      </w:hyperlink>
    </w:p>
    <w:p>
      <w:hyperlink r:id="rId16">
        <w:r>
          <w:rPr>
            <w:u w:val="single"/>
          </w:rPr>
          <w:t>Charity Commission — Reporting serious incidents</w:t>
        </w:r>
      </w:hyperlink>
    </w:p>
    <w:p>
      <w:hyperlink r:id="rId17">
        <w:r>
          <w:rPr>
            <w:u w:val="single"/>
          </w:rPr>
          <w:t>OFSI — Financial sanctions guidance for charities</w:t>
        </w:r>
      </w:hyperlink>
    </w:p>
    <w:p>
      <w:hyperlink r:id="rId18">
        <w:r>
          <w:rPr>
            <w:u w:val="single"/>
          </w:rPr>
          <w:t>UK Government — UK sanctions and the current UK Sanctions List</w:t>
        </w:r>
      </w:hyperlink>
    </w:p>
    <w:p>
      <w:pPr>
        <w:pStyle w:val="Heading1"/>
      </w:pPr>
      <w:r>
        <w:t>Approval record</w:t>
      </w:r>
    </w:p>
    <w:p>
      <w:r>
        <w:t>Approved by: ______________________________________________</w:t>
        <w:br/>
        <w:br/>
        <w:t>Date approved: ____________________________________________</w:t>
        <w:br/>
        <w:br/>
        <w:t>Next review due: ___________________________________________</w:t>
      </w:r>
    </w:p>
    <w:p>
      <w:r>
        <w:t>This version consolidates the Fundraising Policy approved in April 2025 and the Fundraising and Donor Due Diligence Policy approved in April 2024. On adoption, archive both earlier policies and update references to them.</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KCIL  |  Fundraising and Donations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undraisingregulator.org.uk/code" TargetMode="External"/><Relationship Id="rId11" Type="http://schemas.openxmlformats.org/officeDocument/2006/relationships/hyperlink" Target="https://www.fundraisingregulator.org.uk/about-fundraising/resources/due-diligence-and-fundraising" TargetMode="External"/><Relationship Id="rId12" Type="http://schemas.openxmlformats.org/officeDocument/2006/relationships/hyperlink" Target="https://www.fundraisingregulator.org.uk/about-fundraising/resources/donors-vulnerable-circumstances" TargetMode="External"/><Relationship Id="rId13" Type="http://schemas.openxmlformats.org/officeDocument/2006/relationships/hyperlink" Target="https://www.fundraisingregulator.org.uk/service/complaints-about-fundraising" TargetMode="External"/><Relationship Id="rId14" Type="http://schemas.openxmlformats.org/officeDocument/2006/relationships/hyperlink" Target="https://www.gov.uk/government/publications/charity-fundraising-a-guide-to-trustee-duties-cc20/charities-and-fundraising" TargetMode="External"/><Relationship Id="rId15" Type="http://schemas.openxmlformats.org/officeDocument/2006/relationships/hyperlink" Target="https://www.gov.uk/guidance/accepting-refusing-and-returning-donations-to-your-charity" TargetMode="External"/><Relationship Id="rId16" Type="http://schemas.openxmlformats.org/officeDocument/2006/relationships/hyperlink" Target="https://www.gov.uk/guidance/how-to-report-a-serious-incident-in-your-charity" TargetMode="External"/><Relationship Id="rId17" Type="http://schemas.openxmlformats.org/officeDocument/2006/relationships/hyperlink" Target="https://www.gov.uk/government/publications/financial-sanctions-guidance-for-charities/financial-sanctions-guidance-for-charities-and-non-governmental-organisations-ngos" TargetMode="External"/><Relationship Id="rId18" Type="http://schemas.openxmlformats.org/officeDocument/2006/relationships/hyperlink" Target="https://www.gov.uk/government/collections/uk-san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KCIL Fundraising and Donations Policy</dc:title>
  <dc:subject>Fundraising standards, donor due diligence and donation handling</dc:subject>
  <dc:creator>Kingston Centre for Independent Living</dc:creator>
  <cp:keywords/>
  <dc:description>generated by python-docx</dc:description>
  <cp:lastModifiedBy/>
  <cp:revision>1</cp:revision>
  <dcterms:created xsi:type="dcterms:W3CDTF">2013-12-23T23:15:00Z</dcterms:created>
  <dcterms:modified xsi:type="dcterms:W3CDTF">2013-12-23T23:15:00Z</dcterms:modified>
  <cp:category/>
</cp:coreProperties>
</file>